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1C61A95D" w14:textId="45FD2C64" w:rsidR="00750B12" w:rsidRPr="003E63FD" w:rsidRDefault="00750B12" w:rsidP="00750B12">
      <w:pPr>
        <w:jc w:val="center"/>
        <w:rPr>
          <w:rFonts w:ascii="Arial Narrow" w:hAnsi="Arial Narrow"/>
          <w:sz w:val="28"/>
          <w:szCs w:val="28"/>
        </w:rPr>
      </w:pPr>
      <w:r>
        <w:rPr>
          <w:rFonts w:ascii="Arial Narrow" w:hAnsi="Arial Narrow"/>
          <w:sz w:val="28"/>
          <w:szCs w:val="28"/>
        </w:rPr>
        <w:t xml:space="preserve">Marché de </w:t>
      </w:r>
      <w:r w:rsidRPr="00DF42E1">
        <w:rPr>
          <w:rFonts w:ascii="Arial Narrow" w:hAnsi="Arial Narrow"/>
          <w:sz w:val="28"/>
          <w:szCs w:val="28"/>
        </w:rPr>
        <w:t>traitement de dératisation, désinsectisation et désinfection des locaux de l’</w:t>
      </w:r>
      <w:r>
        <w:rPr>
          <w:rFonts w:ascii="Arial Narrow" w:hAnsi="Arial Narrow"/>
          <w:sz w:val="28"/>
          <w:szCs w:val="28"/>
        </w:rPr>
        <w:t>EPMO-VGE</w:t>
      </w:r>
    </w:p>
    <w:p w14:paraId="69AB2209" w14:textId="77777777" w:rsidR="00750B12" w:rsidRPr="001D247D" w:rsidRDefault="00750B12" w:rsidP="00750B12">
      <w:pPr>
        <w:pStyle w:val="En-tte"/>
        <w:tabs>
          <w:tab w:val="clear" w:pos="4536"/>
          <w:tab w:val="clear" w:pos="9072"/>
        </w:tabs>
        <w:spacing w:after="160" w:line="259" w:lineRule="auto"/>
        <w:jc w:val="center"/>
        <w:rPr>
          <w:rFonts w:ascii="Arial Narrow" w:hAnsi="Arial Narrow"/>
          <w:sz w:val="28"/>
          <w:szCs w:val="28"/>
        </w:rPr>
      </w:pPr>
      <w:r w:rsidRPr="001D247D">
        <w:rPr>
          <w:rFonts w:ascii="Arial Narrow" w:hAnsi="Arial Narrow"/>
          <w:sz w:val="28"/>
          <w:szCs w:val="28"/>
        </w:rPr>
        <w:t>N°</w:t>
      </w:r>
      <w:r>
        <w:rPr>
          <w:rFonts w:ascii="Arial Narrow" w:hAnsi="Arial Narrow"/>
          <w:sz w:val="28"/>
          <w:szCs w:val="28"/>
        </w:rPr>
        <w:t>2025-548</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42CE40C0"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C1FEB54"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50B12">
                  <w:rPr>
                    <w:rFonts w:ascii="Arial Narrow" w:hAnsi="Arial Narrow"/>
                    <w:sz w:val="22"/>
                    <w:szCs w:val="22"/>
                  </w:rPr>
                  <w:t>Services</w:t>
                </w:r>
              </w:sdtContent>
            </w:sdt>
          </w:p>
          <w:p w14:paraId="4CA1EB62" w14:textId="44DA02D8" w:rsidR="0081396B" w:rsidRPr="00546FE0" w:rsidRDefault="00750B12" w:rsidP="00E42FF3">
            <w:pPr>
              <w:tabs>
                <w:tab w:val="left" w:pos="5880"/>
              </w:tabs>
              <w:spacing w:after="120"/>
              <w:rPr>
                <w:rFonts w:ascii="Arial Narrow" w:hAnsi="Arial Narrow"/>
              </w:rPr>
            </w:pPr>
            <w:r>
              <w:rPr>
                <w:rFonts w:ascii="Arial Narrow" w:hAnsi="Arial Narrow"/>
              </w:rPr>
              <w:t>Application du CCAG-FCS</w:t>
            </w:r>
          </w:p>
          <w:p w14:paraId="7ACFE896" w14:textId="09C59B74"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50B12">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C4B0F4E"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750B12">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10CE4B59"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w:t>
      </w:r>
    </w:p>
    <w:p w14:paraId="4F5A18A7" w14:textId="77777777" w:rsidR="00750B12" w:rsidRDefault="00750B12" w:rsidP="00750B12">
      <w:pPr>
        <w:pStyle w:val="En-tte"/>
        <w:spacing w:after="120" w:line="360" w:lineRule="auto"/>
        <w:jc w:val="both"/>
        <w:rPr>
          <w:rFonts w:ascii="Arial Narrow" w:hAnsi="Arial Narrow"/>
        </w:rPr>
      </w:pPr>
      <w:r w:rsidRPr="00051B99">
        <w:rPr>
          <w:rFonts w:ascii="Arial Narrow" w:hAnsi="Arial Narrow"/>
        </w:rPr>
        <w:t>L’Etablissement public du musée d’Orsay et du musée de l’Orangerie – Valéry Giscard d’Estaing (EPMO-VGE), établissement public national à caractère administratif, a été créé par un décret n° 2003 1300 du 26 décembre 2003. Depuis 2010, il regroupe le musée d’Orsay et le musée de l’Orangerie (décret n° 2010-558 du 27 mai 2010).</w:t>
      </w:r>
    </w:p>
    <w:p w14:paraId="45F0F6F5" w14:textId="77777777" w:rsidR="000D0217" w:rsidRPr="00546FE0" w:rsidRDefault="000D0217" w:rsidP="000D0217">
      <w:pPr>
        <w:pStyle w:val="En-tte"/>
        <w:tabs>
          <w:tab w:val="clear" w:pos="4536"/>
          <w:tab w:val="clear" w:pos="9072"/>
        </w:tabs>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F965C21" w14:textId="26B27E88" w:rsidR="00750B12" w:rsidRPr="00750B12" w:rsidRDefault="00750B12" w:rsidP="00750B12">
      <w:pPr>
        <w:pStyle w:val="En-tte"/>
        <w:spacing w:after="120" w:line="360" w:lineRule="auto"/>
        <w:jc w:val="both"/>
        <w:rPr>
          <w:rFonts w:ascii="Arial Narrow" w:hAnsi="Arial Narrow"/>
        </w:rPr>
      </w:pPr>
      <w:r w:rsidRPr="00750B12">
        <w:rPr>
          <w:rFonts w:ascii="Arial Narrow" w:hAnsi="Arial Narrow"/>
        </w:rPr>
        <w:t>Le présent marché a pour objet des prestations de prévention et lutte contre les nuisibles (dératisation, désinsectisation, volatiles) et de désinfection des locaux de l’EPMO</w:t>
      </w:r>
      <w:r>
        <w:rPr>
          <w:rFonts w:ascii="Arial Narrow" w:hAnsi="Arial Narrow"/>
        </w:rPr>
        <w:t>-VGE.</w:t>
      </w:r>
    </w:p>
    <w:p w14:paraId="6B1DEAF6" w14:textId="6FC7176E" w:rsidR="00750B12" w:rsidRPr="00750B12" w:rsidRDefault="00750B12" w:rsidP="00750B12">
      <w:pPr>
        <w:pStyle w:val="En-tte"/>
        <w:spacing w:after="120" w:line="360" w:lineRule="auto"/>
        <w:jc w:val="both"/>
        <w:rPr>
          <w:rFonts w:ascii="Arial Narrow" w:hAnsi="Arial Narrow"/>
        </w:rPr>
      </w:pPr>
      <w:r w:rsidRPr="00750B12">
        <w:rPr>
          <w:rFonts w:ascii="Arial Narrow" w:hAnsi="Arial Narrow"/>
        </w:rPr>
        <w:t>Les prestations de service attendues doivent permettre la lutte préventive et curative contre les animaux, volatiles et insectes nuisibles au sein des locaux de l’EPMO</w:t>
      </w:r>
      <w:r>
        <w:rPr>
          <w:rFonts w:ascii="Arial Narrow" w:hAnsi="Arial Narrow"/>
        </w:rPr>
        <w:t>-VGE</w:t>
      </w:r>
      <w:r w:rsidRPr="00750B12">
        <w:rPr>
          <w:rFonts w:ascii="Arial Narrow" w:hAnsi="Arial Narrow"/>
        </w:rPr>
        <w:t>, ainsi que la désinfection de ces mêmes locaux suite à toute situation (exemple : pandém</w:t>
      </w:r>
      <w:r>
        <w:rPr>
          <w:rFonts w:ascii="Arial Narrow" w:hAnsi="Arial Narrow"/>
        </w:rPr>
        <w:t>ie COVID-19).</w:t>
      </w:r>
    </w:p>
    <w:p w14:paraId="75CBDD65" w14:textId="77777777" w:rsidR="00750B12" w:rsidRPr="00750B12" w:rsidRDefault="00750B12" w:rsidP="00750B12">
      <w:pPr>
        <w:pStyle w:val="En-tte"/>
        <w:spacing w:after="120" w:line="360" w:lineRule="auto"/>
        <w:jc w:val="both"/>
        <w:rPr>
          <w:rFonts w:ascii="Arial Narrow" w:hAnsi="Arial Narrow"/>
        </w:rPr>
      </w:pPr>
      <w:r w:rsidRPr="00750B12">
        <w:rPr>
          <w:rFonts w:ascii="Arial Narrow" w:hAnsi="Arial Narrow"/>
        </w:rPr>
        <w:t>Il s'agit :</w:t>
      </w:r>
    </w:p>
    <w:p w14:paraId="6938A36A" w14:textId="77777777" w:rsidR="00750B12" w:rsidRDefault="00750B12" w:rsidP="00750B12">
      <w:pPr>
        <w:pStyle w:val="En-tte"/>
        <w:numPr>
          <w:ilvl w:val="0"/>
          <w:numId w:val="22"/>
        </w:numPr>
        <w:spacing w:after="120" w:line="360" w:lineRule="auto"/>
        <w:jc w:val="both"/>
        <w:rPr>
          <w:rFonts w:ascii="Arial Narrow" w:hAnsi="Arial Narrow"/>
        </w:rPr>
      </w:pPr>
      <w:r w:rsidRPr="00750B12">
        <w:rPr>
          <w:rFonts w:ascii="Arial Narrow" w:hAnsi="Arial Narrow"/>
        </w:rPr>
        <w:t>De prévenir la présence et d'éliminer les nuisibles tels que (</w:t>
      </w:r>
      <w:r>
        <w:rPr>
          <w:rFonts w:ascii="Arial Narrow" w:hAnsi="Arial Narrow"/>
        </w:rPr>
        <w:t>li</w:t>
      </w:r>
      <w:r w:rsidRPr="00750B12">
        <w:rPr>
          <w:rFonts w:ascii="Arial Narrow" w:hAnsi="Arial Narrow"/>
        </w:rPr>
        <w:t>ste non exhaustive)</w:t>
      </w:r>
      <w:r>
        <w:rPr>
          <w:rFonts w:ascii="Arial Narrow" w:hAnsi="Arial Narrow"/>
        </w:rPr>
        <w:t> :</w:t>
      </w:r>
    </w:p>
    <w:p w14:paraId="6866270B" w14:textId="77777777" w:rsidR="00750B12" w:rsidRDefault="00750B12" w:rsidP="00750B12">
      <w:pPr>
        <w:pStyle w:val="En-tte"/>
        <w:numPr>
          <w:ilvl w:val="1"/>
          <w:numId w:val="22"/>
        </w:numPr>
        <w:spacing w:after="120" w:line="360" w:lineRule="auto"/>
        <w:jc w:val="both"/>
        <w:rPr>
          <w:rFonts w:ascii="Arial Narrow" w:hAnsi="Arial Narrow"/>
        </w:rPr>
      </w:pPr>
      <w:r>
        <w:rPr>
          <w:rFonts w:ascii="Arial Narrow" w:hAnsi="Arial Narrow"/>
        </w:rPr>
        <w:t>L</w:t>
      </w:r>
      <w:r w:rsidRPr="00750B12">
        <w:rPr>
          <w:rFonts w:ascii="Arial Narrow" w:hAnsi="Arial Narrow"/>
        </w:rPr>
        <w:t>es rats et souris,</w:t>
      </w:r>
    </w:p>
    <w:p w14:paraId="3AA46E4C" w14:textId="77777777" w:rsidR="00750B12" w:rsidRDefault="00750B12" w:rsidP="00750B12">
      <w:pPr>
        <w:pStyle w:val="En-tte"/>
        <w:numPr>
          <w:ilvl w:val="1"/>
          <w:numId w:val="22"/>
        </w:numPr>
        <w:spacing w:after="120" w:line="360" w:lineRule="auto"/>
        <w:jc w:val="both"/>
        <w:rPr>
          <w:rFonts w:ascii="Arial Narrow" w:hAnsi="Arial Narrow"/>
        </w:rPr>
      </w:pPr>
      <w:r>
        <w:rPr>
          <w:rFonts w:ascii="Arial Narrow" w:hAnsi="Arial Narrow"/>
        </w:rPr>
        <w:t>L</w:t>
      </w:r>
      <w:r w:rsidRPr="00750B12">
        <w:rPr>
          <w:rFonts w:ascii="Arial Narrow" w:hAnsi="Arial Narrow"/>
        </w:rPr>
        <w:t>es pigeons,</w:t>
      </w:r>
    </w:p>
    <w:p w14:paraId="077D9D53" w14:textId="221A7FA3" w:rsidR="00750B12" w:rsidRDefault="00750B12" w:rsidP="00750B12">
      <w:pPr>
        <w:pStyle w:val="En-tte"/>
        <w:numPr>
          <w:ilvl w:val="1"/>
          <w:numId w:val="22"/>
        </w:numPr>
        <w:spacing w:after="120" w:line="360" w:lineRule="auto"/>
        <w:jc w:val="both"/>
        <w:rPr>
          <w:rFonts w:ascii="Arial Narrow" w:hAnsi="Arial Narrow"/>
        </w:rPr>
      </w:pPr>
      <w:r>
        <w:rPr>
          <w:rFonts w:ascii="Arial Narrow" w:hAnsi="Arial Narrow"/>
        </w:rPr>
        <w:t>L</w:t>
      </w:r>
      <w:r w:rsidRPr="00750B12">
        <w:rPr>
          <w:rFonts w:ascii="Arial Narrow" w:hAnsi="Arial Narrow"/>
        </w:rPr>
        <w:t>es insectes volants et rampants (blattes,</w:t>
      </w:r>
      <w:r>
        <w:rPr>
          <w:rFonts w:ascii="Arial Narrow" w:hAnsi="Arial Narrow"/>
        </w:rPr>
        <w:t xml:space="preserve"> puces, punaises de lit, la gale, les fourmis, les mi</w:t>
      </w:r>
      <w:r w:rsidRPr="00750B12">
        <w:rPr>
          <w:rFonts w:ascii="Arial Narrow" w:hAnsi="Arial Narrow"/>
        </w:rPr>
        <w:t>tes, les poissons d’argents, les moustiques, les mouches et moucherons, des guêpes et frelons européen</w:t>
      </w:r>
      <w:r>
        <w:rPr>
          <w:rFonts w:ascii="Arial Narrow" w:hAnsi="Arial Narrow"/>
        </w:rPr>
        <w:t>s</w:t>
      </w:r>
      <w:r w:rsidRPr="00750B12">
        <w:rPr>
          <w:rFonts w:ascii="Arial Narrow" w:hAnsi="Arial Narrow"/>
        </w:rPr>
        <w:t xml:space="preserve"> et asiatiques, des araignées, des chenilles processionnaires, etc…)</w:t>
      </w:r>
    </w:p>
    <w:p w14:paraId="70BB8C77" w14:textId="00876495" w:rsidR="0006022E" w:rsidRDefault="00750B12" w:rsidP="00DC5ED3">
      <w:pPr>
        <w:pStyle w:val="En-tte"/>
        <w:numPr>
          <w:ilvl w:val="0"/>
          <w:numId w:val="22"/>
        </w:numPr>
        <w:spacing w:after="120" w:line="360" w:lineRule="auto"/>
        <w:jc w:val="both"/>
        <w:rPr>
          <w:rFonts w:ascii="Arial Narrow" w:hAnsi="Arial Narrow"/>
        </w:rPr>
      </w:pPr>
      <w:r w:rsidRPr="00750B12">
        <w:rPr>
          <w:rFonts w:ascii="Arial Narrow" w:hAnsi="Arial Narrow"/>
        </w:rPr>
        <w:tab/>
        <w:t>De remédier aux infestations dans les locaux et éventuellement les abords des sites conce</w:t>
      </w:r>
      <w:r>
        <w:rPr>
          <w:rFonts w:ascii="Arial Narrow" w:hAnsi="Arial Narrow"/>
        </w:rPr>
        <w:t>rnés.</w:t>
      </w:r>
    </w:p>
    <w:p w14:paraId="6EF614DC" w14:textId="49998C4D" w:rsidR="00750B12" w:rsidRPr="00750B12" w:rsidRDefault="00750B12" w:rsidP="00750B12">
      <w:pPr>
        <w:pStyle w:val="En-tte"/>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12EC8AE0"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 part forfaitaire de l’accord-cadre </w:t>
      </w:r>
      <w:r w:rsidR="003E137A">
        <w:rPr>
          <w:rFonts w:ascii="Arial Narrow" w:hAnsi="Arial Narrow"/>
        </w:rPr>
        <w:t xml:space="preserve">correspond au traitement préventif de désinsectisation et de dératisation des locaux de l’EPMO-VGE (Musée d’Orsay, Musée de l’Orangerie et locaux administratifs situés au 2 rue de Villersexel). </w:t>
      </w: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53D0927F" w14:textId="0D607225" w:rsidR="0006022E" w:rsidRDefault="003E137A" w:rsidP="0006022E">
      <w:pPr>
        <w:pStyle w:val="En-tte"/>
        <w:tabs>
          <w:tab w:val="clear" w:pos="4536"/>
          <w:tab w:val="clear" w:pos="9072"/>
        </w:tabs>
        <w:spacing w:after="120" w:line="360" w:lineRule="auto"/>
        <w:jc w:val="both"/>
        <w:rPr>
          <w:rFonts w:ascii="Arial Narrow" w:hAnsi="Arial Narrow"/>
        </w:rPr>
      </w:pPr>
      <w:r>
        <w:rPr>
          <w:rFonts w:ascii="Arial Narrow" w:hAnsi="Arial Narrow"/>
        </w:rPr>
        <w:t>Les</w:t>
      </w:r>
      <w:r w:rsidR="0006022E" w:rsidRPr="00546FE0">
        <w:rPr>
          <w:rFonts w:ascii="Arial Narrow" w:hAnsi="Arial Narrow"/>
        </w:rPr>
        <w:t xml:space="preserve"> bons de commande pourront porter sur une ou plusieurs des prestations </w:t>
      </w:r>
      <w:r>
        <w:rPr>
          <w:rFonts w:ascii="Arial Narrow" w:hAnsi="Arial Narrow"/>
        </w:rPr>
        <w:t xml:space="preserve">détaillées au BPU. </w:t>
      </w:r>
    </w:p>
    <w:p w14:paraId="4807BDD2" w14:textId="77777777" w:rsidR="00EE230C" w:rsidRPr="00546FE0" w:rsidRDefault="00EE230C" w:rsidP="0006022E">
      <w:pPr>
        <w:pStyle w:val="En-tte"/>
        <w:tabs>
          <w:tab w:val="clear" w:pos="4536"/>
          <w:tab w:val="clear" w:pos="9072"/>
        </w:tabs>
        <w:spacing w:after="120" w:line="360" w:lineRule="auto"/>
        <w:jc w:val="both"/>
        <w:rPr>
          <w:rFonts w:ascii="Arial Narrow" w:hAnsi="Arial Narrow"/>
        </w:rPr>
      </w:pP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Clause de non exclusivité</w:t>
      </w:r>
    </w:p>
    <w:p w14:paraId="5893B303" w14:textId="1E5B9C50" w:rsidR="003E137A" w:rsidRPr="00546FE0" w:rsidRDefault="0006022E" w:rsidP="003E137A">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dans l</w:t>
      </w:r>
      <w:r w:rsidR="003E137A">
        <w:rPr>
          <w:rFonts w:ascii="Arial Narrow" w:eastAsiaTheme="minorHAnsi" w:hAnsi="Arial Narrow" w:cstheme="minorBidi"/>
          <w:lang w:eastAsia="en-US"/>
        </w:rPr>
        <w:t xml:space="preserve">’hypothèse où le titulaire ne serait pas en capacité d’exécuter les prestations (rupture d’approvisionnement des matériaux, absence de personnel…). </w:t>
      </w:r>
    </w:p>
    <w:p w14:paraId="08A54EC0" w14:textId="77777777" w:rsidR="00257918" w:rsidRPr="00546FE0" w:rsidRDefault="00257918" w:rsidP="00954EEA">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541DA72B"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10A2FC28" w14:textId="088CFE07" w:rsidR="0057274A" w:rsidRPr="00546FE0" w:rsidRDefault="0057274A" w:rsidP="00954EEA">
      <w:pPr>
        <w:pStyle w:val="En-tte"/>
        <w:tabs>
          <w:tab w:val="clear" w:pos="4536"/>
          <w:tab w:val="clear" w:pos="9072"/>
        </w:tabs>
        <w:spacing w:line="360" w:lineRule="auto"/>
        <w:jc w:val="both"/>
        <w:rPr>
          <w:rFonts w:ascii="Arial Narrow" w:hAnsi="Arial Narrow"/>
        </w:rPr>
      </w:pPr>
      <w:r w:rsidRPr="0057274A">
        <w:rPr>
          <w:rFonts w:ascii="Arial Narrow" w:hAnsi="Arial Narrow"/>
        </w:rPr>
        <w:t>Le ou les marchés de prestations similaires seront notamment mis en œuvre pour le musée Hébert (situé au 85 rue du Cherche Midi, Paris 6ème) et Mail</w:t>
      </w:r>
      <w:r w:rsidR="00D95936">
        <w:rPr>
          <w:rFonts w:ascii="Arial Narrow" w:hAnsi="Arial Narrow"/>
        </w:rPr>
        <w:t>ly-Nesle (situé au 8 rue de Baun</w:t>
      </w:r>
      <w:r w:rsidRPr="0057274A">
        <w:rPr>
          <w:rFonts w:ascii="Arial Narrow" w:hAnsi="Arial Narrow"/>
        </w:rPr>
        <w:t xml:space="preserve">e, Paris 7ème) faisant partie </w:t>
      </w:r>
      <w:r>
        <w:rPr>
          <w:rFonts w:ascii="Arial Narrow" w:hAnsi="Arial Narrow"/>
        </w:rPr>
        <w:t xml:space="preserve">des sites </w:t>
      </w:r>
      <w:r w:rsidRPr="0057274A">
        <w:rPr>
          <w:rFonts w:ascii="Arial Narrow" w:hAnsi="Arial Narrow"/>
        </w:rPr>
        <w:t>de l’EPMO</w:t>
      </w:r>
      <w:r>
        <w:rPr>
          <w:rFonts w:ascii="Arial Narrow" w:hAnsi="Arial Narrow"/>
        </w:rPr>
        <w:t>-VGE</w:t>
      </w:r>
      <w:r w:rsidRPr="0057274A">
        <w:rPr>
          <w:rFonts w:ascii="Arial Narrow" w:hAnsi="Arial Narrow"/>
        </w:rPr>
        <w:t xml:space="preserve"> et qui sont actuellement fermés pour travaux.</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4E64DA80" w14:textId="7F50E96A"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des prestations</w:t>
      </w:r>
      <w:r w:rsidR="003E137A">
        <w:rPr>
          <w:rFonts w:ascii="Arial Narrow" w:hAnsi="Arial Narrow"/>
        </w:rPr>
        <w:t xml:space="preserve"> est assuré par </w:t>
      </w:r>
      <w:r w:rsidR="003F7575">
        <w:rPr>
          <w:rFonts w:ascii="Arial Narrow" w:hAnsi="Arial Narrow"/>
        </w:rPr>
        <w:t xml:space="preserve">la cheffe du service des moyens généraux </w:t>
      </w:r>
      <w:r w:rsidR="00376A8E" w:rsidRPr="00546FE0">
        <w:rPr>
          <w:rFonts w:ascii="Arial Narrow" w:hAnsi="Arial Narrow"/>
        </w:rPr>
        <w:t xml:space="preserve">ou </w:t>
      </w:r>
      <w:r w:rsidRPr="00546FE0">
        <w:rPr>
          <w:rFonts w:ascii="Arial Narrow" w:hAnsi="Arial Narrow"/>
        </w:rPr>
        <w:t>son représent</w:t>
      </w:r>
      <w:r w:rsidR="003E137A">
        <w:rPr>
          <w:rFonts w:ascii="Arial Narrow" w:hAnsi="Arial Narrow"/>
        </w:rPr>
        <w:t xml:space="preserve">ant dûment habilité à cet effet. </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73F99E66"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4A3EAA76" w14:textId="77777777" w:rsidR="003E137A" w:rsidRPr="00546FE0" w:rsidRDefault="003E137A"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BAAE196" w14:textId="295888D7" w:rsidR="005D555E" w:rsidRDefault="005D555E" w:rsidP="007639B4">
      <w:pPr>
        <w:pStyle w:val="En-tte"/>
        <w:spacing w:after="120" w:line="360" w:lineRule="auto"/>
        <w:jc w:val="both"/>
        <w:rPr>
          <w:rFonts w:ascii="Arial Narrow" w:hAnsi="Arial Narrow"/>
        </w:rPr>
      </w:pPr>
      <w:r w:rsidRPr="00546FE0">
        <w:rPr>
          <w:rFonts w:ascii="Arial Narrow" w:hAnsi="Arial Narrow"/>
        </w:rPr>
        <w:t xml:space="preserve">Il est précisé que la notification de l’accord-cadre </w:t>
      </w:r>
      <w:r w:rsidR="003E137A">
        <w:rPr>
          <w:rFonts w:ascii="Arial Narrow" w:hAnsi="Arial Narrow"/>
        </w:rPr>
        <w:t xml:space="preserve">et ses éventuelles reconductions valent </w:t>
      </w:r>
      <w:r w:rsidRPr="00546FE0">
        <w:rPr>
          <w:rFonts w:ascii="Arial Narrow" w:hAnsi="Arial Narrow"/>
        </w:rPr>
        <w:t>commande des prestations faisant l’objet du montant forfaitaire mentionné à l’article 5.1 de l’acte d’engagement.</w:t>
      </w: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6D59A13E"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228BCC4C" w14:textId="77777777" w:rsidR="003E137A" w:rsidRPr="00546FE0" w:rsidRDefault="003E137A">
      <w:pPr>
        <w:pStyle w:val="En-tte"/>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601141E7" w14:textId="5201563D" w:rsidR="00EE230C" w:rsidRDefault="00EE230C" w:rsidP="00D9355E">
      <w:pPr>
        <w:pStyle w:val="En-tte"/>
        <w:tabs>
          <w:tab w:val="clear" w:pos="4536"/>
          <w:tab w:val="clear" w:pos="9072"/>
        </w:tabs>
        <w:spacing w:after="120" w:line="360" w:lineRule="auto"/>
        <w:jc w:val="both"/>
        <w:rPr>
          <w:rFonts w:ascii="Arial Narrow" w:hAnsi="Arial Narrow"/>
        </w:rPr>
      </w:pPr>
    </w:p>
    <w:p w14:paraId="185631A9" w14:textId="7A272FA7" w:rsidR="00954EEA" w:rsidRDefault="00954EEA" w:rsidP="00D9355E">
      <w:pPr>
        <w:pStyle w:val="En-tte"/>
        <w:tabs>
          <w:tab w:val="clear" w:pos="4536"/>
          <w:tab w:val="clear" w:pos="9072"/>
        </w:tabs>
        <w:spacing w:after="120" w:line="360" w:lineRule="auto"/>
        <w:jc w:val="both"/>
        <w:rPr>
          <w:rFonts w:ascii="Arial Narrow" w:hAnsi="Arial Narrow"/>
        </w:rPr>
      </w:pPr>
    </w:p>
    <w:p w14:paraId="4C5C22B6" w14:textId="77777777" w:rsidR="00954EEA" w:rsidRPr="00546FE0" w:rsidRDefault="00954EEA"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décarbonation,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77777777"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4097F7A" w14:textId="1E57436B" w:rsidR="007C15FD" w:rsidRPr="00C502ED" w:rsidRDefault="00C502ED" w:rsidP="007C15FD">
      <w:pPr>
        <w:pStyle w:val="En-tte"/>
        <w:numPr>
          <w:ilvl w:val="0"/>
          <w:numId w:val="17"/>
        </w:numPr>
        <w:tabs>
          <w:tab w:val="clear" w:pos="4536"/>
          <w:tab w:val="clear" w:pos="9072"/>
        </w:tabs>
        <w:spacing w:after="240" w:line="360" w:lineRule="auto"/>
        <w:ind w:hanging="720"/>
        <w:jc w:val="both"/>
        <w:rPr>
          <w:rFonts w:ascii="Arial Narrow" w:hAnsi="Arial Narrow"/>
          <w:b/>
        </w:rPr>
      </w:pPr>
      <w:r w:rsidRPr="00C502ED">
        <w:rPr>
          <w:rFonts w:ascii="Arial Narrow" w:hAnsi="Arial Narrow"/>
          <w:b/>
        </w:rPr>
        <w:t>Clause environnementale</w:t>
      </w:r>
    </w:p>
    <w:p w14:paraId="4B6C1701" w14:textId="25AB9269" w:rsidR="007C15FD" w:rsidRPr="007C15FD" w:rsidRDefault="00C502ED" w:rsidP="007C15FD">
      <w:pPr>
        <w:pStyle w:val="En-tte"/>
        <w:tabs>
          <w:tab w:val="clear" w:pos="4536"/>
          <w:tab w:val="clear" w:pos="9072"/>
        </w:tabs>
        <w:spacing w:after="120" w:line="360" w:lineRule="auto"/>
        <w:jc w:val="both"/>
        <w:rPr>
          <w:rFonts w:ascii="Arial Narrow" w:hAnsi="Arial Narrow"/>
        </w:rPr>
      </w:pPr>
      <w:r w:rsidRPr="00C502ED">
        <w:rPr>
          <w:rFonts w:ascii="Arial Narrow" w:hAnsi="Arial Narrow"/>
        </w:rPr>
        <w:t>Le titulaire est tenu de se conformer à la clause environnementale figurant à l’article 8 du CCTP.</w:t>
      </w:r>
    </w:p>
    <w:p w14:paraId="37B3E788" w14:textId="77777777" w:rsidR="0035293A" w:rsidRPr="0035293A" w:rsidRDefault="0035293A" w:rsidP="0035293A">
      <w:pPr>
        <w:pStyle w:val="En-tte"/>
        <w:numPr>
          <w:ilvl w:val="0"/>
          <w:numId w:val="17"/>
        </w:numPr>
        <w:tabs>
          <w:tab w:val="clear" w:pos="4536"/>
          <w:tab w:val="clear" w:pos="9072"/>
        </w:tabs>
        <w:spacing w:after="240" w:line="360" w:lineRule="auto"/>
        <w:ind w:hanging="720"/>
        <w:jc w:val="both"/>
        <w:rPr>
          <w:rFonts w:ascii="Arial Narrow" w:hAnsi="Arial Narrow"/>
          <w:b/>
        </w:rPr>
      </w:pPr>
      <w:r w:rsidRPr="0035293A">
        <w:rPr>
          <w:rFonts w:ascii="Arial Narrow" w:hAnsi="Arial Narrow"/>
          <w:b/>
        </w:rPr>
        <w:t>Obligations relatives au calcul des émissions de gaz à effet de serre</w:t>
      </w:r>
    </w:p>
    <w:p w14:paraId="70607F9A" w14:textId="77777777" w:rsidR="0035293A" w:rsidRPr="0035293A" w:rsidRDefault="0035293A" w:rsidP="0035293A">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30E5BF5D" w14:textId="77777777" w:rsidR="007C15FD" w:rsidRDefault="0035293A" w:rsidP="007C15FD">
      <w:pPr>
        <w:pStyle w:val="En-tte"/>
        <w:spacing w:after="120" w:line="360" w:lineRule="auto"/>
        <w:jc w:val="both"/>
        <w:rPr>
          <w:rFonts w:ascii="Arial Narrow" w:hAnsi="Arial Narrow"/>
        </w:rPr>
      </w:pPr>
      <w:r w:rsidRPr="0035293A">
        <w:rPr>
          <w:rFonts w:ascii="Arial Narrow" w:hAnsi="Arial Narrow"/>
        </w:rPr>
        <w:t xml:space="preserve">Dans ce cadre, le titulaire est tenu de fournir les données nécessaires à cette mesure, telles que demandées par l’EPMO-VGE : </w:t>
      </w:r>
    </w:p>
    <w:p w14:paraId="3CDF8270" w14:textId="2315690E" w:rsidR="007C15FD" w:rsidRDefault="007C15FD" w:rsidP="007C15FD">
      <w:pPr>
        <w:pStyle w:val="En-tte"/>
        <w:numPr>
          <w:ilvl w:val="0"/>
          <w:numId w:val="3"/>
        </w:numPr>
        <w:spacing w:line="360" w:lineRule="auto"/>
        <w:jc w:val="both"/>
        <w:rPr>
          <w:rFonts w:ascii="Arial Narrow" w:hAnsi="Arial Narrow"/>
        </w:rPr>
      </w:pPr>
      <w:r>
        <w:rPr>
          <w:rFonts w:ascii="Arial Narrow" w:hAnsi="Arial Narrow"/>
        </w:rPr>
        <w:t>Q</w:t>
      </w:r>
      <w:r w:rsidRPr="00F1664C">
        <w:rPr>
          <w:rFonts w:ascii="Arial Narrow" w:hAnsi="Arial Narrow"/>
        </w:rPr>
        <w:t xml:space="preserve">uantités de gaz à effet de serre émises par le ou les modes de transport utilisés pour réaliser les prestations objet </w:t>
      </w:r>
      <w:r>
        <w:rPr>
          <w:rFonts w:ascii="Arial Narrow" w:hAnsi="Arial Narrow"/>
        </w:rPr>
        <w:t>de l’accord-cadre</w:t>
      </w:r>
      <w:r w:rsidRPr="00F1664C">
        <w:rPr>
          <w:rFonts w:ascii="Arial Narrow" w:hAnsi="Arial Narrow"/>
        </w:rPr>
        <w:t>.</w:t>
      </w:r>
    </w:p>
    <w:p w14:paraId="076C09C4" w14:textId="7708E933" w:rsidR="00954EEA" w:rsidRPr="00954EEA" w:rsidRDefault="00954EEA" w:rsidP="00954EEA">
      <w:pPr>
        <w:pStyle w:val="En-tte"/>
        <w:numPr>
          <w:ilvl w:val="0"/>
          <w:numId w:val="3"/>
        </w:numPr>
        <w:spacing w:line="360" w:lineRule="auto"/>
        <w:jc w:val="both"/>
        <w:rPr>
          <w:rFonts w:ascii="Arial Narrow" w:hAnsi="Arial Narrow"/>
        </w:rPr>
      </w:pPr>
      <w:r>
        <w:rPr>
          <w:rFonts w:ascii="Arial Narrow" w:hAnsi="Arial Narrow"/>
        </w:rPr>
        <w:t>Volume total de produits consommables utilisés (en kg)</w:t>
      </w:r>
    </w:p>
    <w:p w14:paraId="54D5421D" w14:textId="52B2EC5F" w:rsidR="007C15FD" w:rsidRPr="007C15FD" w:rsidRDefault="007C15FD" w:rsidP="00954EEA">
      <w:pPr>
        <w:pStyle w:val="En-tte"/>
        <w:numPr>
          <w:ilvl w:val="0"/>
          <w:numId w:val="3"/>
        </w:numPr>
        <w:spacing w:after="120" w:line="360" w:lineRule="auto"/>
        <w:jc w:val="both"/>
        <w:rPr>
          <w:rFonts w:ascii="Arial Narrow" w:hAnsi="Arial Narrow"/>
        </w:rPr>
      </w:pPr>
      <w:r>
        <w:rPr>
          <w:rFonts w:ascii="Arial Narrow" w:hAnsi="Arial Narrow"/>
        </w:rPr>
        <w:t>Proportion de dispositifs recyclés/recyclables/réutilisés parmi l’ensemble des dispositifs commandés (parmi les dispositifs non consommables type dératiseur)</w:t>
      </w:r>
    </w:p>
    <w:p w14:paraId="14B42F3F" w14:textId="6BA19533" w:rsidR="0035293A" w:rsidRPr="007C15FD" w:rsidRDefault="0035293A" w:rsidP="007C15FD">
      <w:pPr>
        <w:pStyle w:val="En-tte"/>
        <w:spacing w:after="120" w:line="360" w:lineRule="auto"/>
        <w:jc w:val="both"/>
        <w:rPr>
          <w:rFonts w:ascii="Arial Narrow" w:hAnsi="Arial Narrow"/>
        </w:rPr>
      </w:pPr>
      <w:r w:rsidRPr="007C15FD">
        <w:rPr>
          <w:rFonts w:ascii="Arial Narrow" w:hAnsi="Arial Narrow"/>
        </w:rPr>
        <w:t xml:space="preserve">Le titulaire fournira annuellement un bilan intégrant l’ensemble des éléments décrits ci-dessus. </w:t>
      </w:r>
    </w:p>
    <w:p w14:paraId="35BF0920" w14:textId="77777777" w:rsidR="0035293A" w:rsidRPr="00546FE0" w:rsidRDefault="0035293A"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3CA88DCB"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00100939" w:rsidRPr="00100939">
        <w:rPr>
          <w:rFonts w:ascii="Arial Narrow" w:hAnsi="Arial Narrow"/>
        </w:rPr>
        <w:t xml:space="preserve">forfaitaires et </w:t>
      </w:r>
      <w:r w:rsidRPr="00100939">
        <w:rPr>
          <w:rFonts w:ascii="Arial Narrow" w:hAnsi="Arial Narrow"/>
        </w:rPr>
        <w:t>unitaires. Ils</w:t>
      </w:r>
      <w:r w:rsidRPr="00546FE0">
        <w:rPr>
          <w:rFonts w:ascii="Arial Narrow" w:hAnsi="Arial Narrow"/>
        </w:rPr>
        <w:t xml:space="preserve">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lastRenderedPageBreak/>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07D52A8" w14:textId="27164764" w:rsidR="00B42ED3" w:rsidRPr="00546FE0" w:rsidRDefault="00B42ED3" w:rsidP="00B42ED3">
      <w:pPr>
        <w:pStyle w:val="En-tte"/>
        <w:spacing w:after="120" w:line="360" w:lineRule="auto"/>
        <w:rPr>
          <w:rFonts w:ascii="Arial Narrow" w:hAnsi="Arial Narrow"/>
          <w:lang w:val="en-US"/>
        </w:rPr>
      </w:pPr>
      <w:r w:rsidRPr="00546FE0">
        <w:rPr>
          <w:rFonts w:ascii="Arial Narrow" w:hAnsi="Arial Narrow"/>
          <w:lang w:val="en-US"/>
        </w:rPr>
        <w:t xml:space="preserve">P = Po * </w:t>
      </w:r>
      <w:r w:rsidR="00CC5197">
        <w:rPr>
          <w:rFonts w:ascii="Arial Narrow" w:hAnsi="Arial Narrow"/>
          <w:lang w:val="en-US"/>
        </w:rPr>
        <w:t>(I-N/ I</w:t>
      </w:r>
      <w:r w:rsidR="00E53715">
        <w:rPr>
          <w:rFonts w:ascii="Arial Narrow" w:hAnsi="Arial Narrow"/>
          <w:lang w:val="en-US"/>
        </w:rPr>
        <w:t>-</w:t>
      </w:r>
      <w:r w:rsidR="00CC5197">
        <w:rPr>
          <w:rFonts w:ascii="Arial Narrow" w:hAnsi="Arial Narrow"/>
          <w:lang w:val="en-US"/>
        </w:rPr>
        <w:t>No)</w:t>
      </w:r>
    </w:p>
    <w:p w14:paraId="02D8CDCD" w14:textId="69650966" w:rsidR="00B42ED3" w:rsidRPr="00546FE0" w:rsidRDefault="00100939" w:rsidP="00B42ED3">
      <w:pPr>
        <w:pStyle w:val="En-tte"/>
        <w:spacing w:after="120" w:line="360" w:lineRule="auto"/>
        <w:rPr>
          <w:rFonts w:ascii="Arial Narrow" w:hAnsi="Arial Narrow"/>
        </w:rPr>
      </w:pPr>
      <w:r>
        <w:rPr>
          <w:rFonts w:ascii="Arial Narrow" w:hAnsi="Arial Narrow"/>
        </w:rPr>
        <w:t>I</w:t>
      </w:r>
      <w:r w:rsidR="00B42ED3" w:rsidRPr="00546FE0">
        <w:rPr>
          <w:rFonts w:ascii="Arial Narrow" w:hAnsi="Arial Narrow"/>
        </w:rPr>
        <w:t xml:space="preserve"> = </w:t>
      </w:r>
      <w:r w:rsidRPr="00100939">
        <w:rPr>
          <w:rFonts w:ascii="Arial Narrow" w:hAnsi="Arial Narrow"/>
        </w:rPr>
        <w:t xml:space="preserve">CPF 81.29 − Autres services de </w:t>
      </w:r>
      <w:r w:rsidR="00E53715" w:rsidRPr="00100939">
        <w:rPr>
          <w:rFonts w:ascii="Arial Narrow" w:hAnsi="Arial Narrow"/>
        </w:rPr>
        <w:t>nettoyage -</w:t>
      </w:r>
      <w:r w:rsidR="00E53715">
        <w:rPr>
          <w:rFonts w:ascii="Arial Narrow" w:hAnsi="Arial Narrow"/>
        </w:rPr>
        <w:t xml:space="preserve"> </w:t>
      </w:r>
      <w:hyperlink r:id="rId8" w:history="1">
        <w:r w:rsidRPr="00E53715">
          <w:rPr>
            <w:rStyle w:val="Lienhypertexte"/>
            <w:rFonts w:ascii="Arial Narrow" w:hAnsi="Arial Narrow"/>
          </w:rPr>
          <w:t>Identifiant 010766462</w:t>
        </w:r>
      </w:hyperlink>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167087ED" w14:textId="0CFB13F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 xml:space="preserve">I-N : </w:t>
      </w:r>
      <w:r w:rsidR="00FA36FF">
        <w:rPr>
          <w:rFonts w:ascii="Arial Narrow" w:hAnsi="Arial Narrow"/>
        </w:rPr>
        <w:t xml:space="preserve">valeur du </w:t>
      </w:r>
      <w:r w:rsidRPr="00546FE0">
        <w:rPr>
          <w:rFonts w:ascii="Arial Narrow" w:hAnsi="Arial Narrow"/>
        </w:rPr>
        <w:t>dernier indice I-N connu à la date de révision des prix,</w:t>
      </w:r>
    </w:p>
    <w:p w14:paraId="761B5CB8" w14:textId="0EEBD2B0"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 xml:space="preserve">I-No : </w:t>
      </w:r>
      <w:r w:rsidR="00FA36FF">
        <w:rPr>
          <w:rFonts w:ascii="Arial Narrow" w:hAnsi="Arial Narrow"/>
        </w:rPr>
        <w:t>valeur de l’i</w:t>
      </w:r>
      <w:r w:rsidRPr="00546FE0">
        <w:rPr>
          <w:rFonts w:ascii="Arial Narrow" w:hAnsi="Arial Narrow"/>
        </w:rPr>
        <w:t>ndice I-N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2623F2A0" w:rsidR="0014540C" w:rsidRPr="00E53715" w:rsidRDefault="000B3B2B" w:rsidP="00E53715">
      <w:pPr>
        <w:pStyle w:val="En-tte"/>
        <w:spacing w:after="120" w:line="360" w:lineRule="auto"/>
        <w:jc w:val="both"/>
        <w:rPr>
          <w:rFonts w:ascii="Arial Narrow" w:hAnsi="Arial Narrow"/>
        </w:rPr>
      </w:pPr>
      <w:r w:rsidRPr="00E53715">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9" w:history="1">
        <w:r w:rsidR="00E53715" w:rsidRPr="00E8262A">
          <w:rPr>
            <w:rStyle w:val="Lienhypertexte"/>
            <w:rFonts w:ascii="Arial Narrow" w:hAnsi="Arial Narrow"/>
          </w:rPr>
          <w:t>affairesfinancieres@musee-orsay.fr</w:t>
        </w:r>
      </w:hyperlink>
      <w:r w:rsidR="00E53715">
        <w:rPr>
          <w:rFonts w:ascii="Arial Narrow" w:hAnsi="Arial Narrow"/>
        </w:rPr>
        <w:t xml:space="preserve"> - </w:t>
      </w:r>
      <w:r w:rsidR="00F664E5" w:rsidRPr="00E53715">
        <w:rPr>
          <w:rFonts w:ascii="Arial Narrow" w:hAnsi="Arial Narrow"/>
        </w:rPr>
        <w:t xml:space="preserve">copie </w:t>
      </w:r>
      <w:hyperlink r:id="rId10" w:history="1">
        <w:r w:rsidR="00E53715" w:rsidRPr="00E8262A">
          <w:rPr>
            <w:rStyle w:val="Lienhypertexte"/>
            <w:rFonts w:ascii="Arial Narrow" w:hAnsi="Arial Narrow"/>
          </w:rPr>
          <w:t>juridique@musee-orsay.fr</w:t>
        </w:r>
      </w:hyperlink>
      <w:r w:rsidR="00E53715">
        <w:rPr>
          <w:rFonts w:ascii="Arial Narrow" w:hAnsi="Arial Narrow"/>
        </w:rPr>
        <w:t xml:space="preserve"> </w:t>
      </w:r>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5930C979" w14:textId="6E27FAE5" w:rsidR="0014540C" w:rsidRPr="00E53715" w:rsidRDefault="00E53715" w:rsidP="00E53715">
      <w:pPr>
        <w:pStyle w:val="En-tte"/>
        <w:numPr>
          <w:ilvl w:val="0"/>
          <w:numId w:val="21"/>
        </w:numPr>
        <w:spacing w:line="360" w:lineRule="auto"/>
        <w:rPr>
          <w:rFonts w:ascii="Arial Narrow" w:hAnsi="Arial Narrow"/>
        </w:rPr>
      </w:pPr>
      <w:r w:rsidRPr="00E53715">
        <w:rPr>
          <w:rFonts w:ascii="Arial Narrow" w:hAnsi="Arial Narrow"/>
        </w:rPr>
        <w:t xml:space="preserve">Forfait </w:t>
      </w:r>
      <w:r w:rsidR="0014540C" w:rsidRPr="00E53715">
        <w:rPr>
          <w:rFonts w:ascii="Arial Narrow" w:hAnsi="Arial Narrow"/>
        </w:rPr>
        <w:t>:</w:t>
      </w:r>
    </w:p>
    <w:p w14:paraId="3FAE0598" w14:textId="4A0028FF" w:rsidR="0014540C" w:rsidRPr="00E53715" w:rsidRDefault="0014540C" w:rsidP="0014540C">
      <w:pPr>
        <w:pStyle w:val="En-tte"/>
        <w:spacing w:after="120" w:line="360" w:lineRule="auto"/>
        <w:jc w:val="both"/>
        <w:rPr>
          <w:rFonts w:ascii="Arial Narrow" w:hAnsi="Arial Narrow"/>
          <w:bCs/>
          <w:iCs/>
        </w:rPr>
      </w:pPr>
      <w:r w:rsidRPr="00E53715">
        <w:rPr>
          <w:rFonts w:ascii="Arial Narrow" w:hAnsi="Arial Narrow"/>
        </w:rPr>
        <w:t xml:space="preserve">Une avance est versée au titulaire dans les conditions fixées à l’option A de l’article </w:t>
      </w:r>
      <w:r w:rsidRPr="00E53715">
        <w:rPr>
          <w:rFonts w:ascii="Arial Narrow" w:hAnsi="Arial Narrow"/>
          <w:bCs/>
          <w:iCs/>
        </w:rPr>
        <w:t xml:space="preserve">11.1 du CCAG-FCS </w:t>
      </w:r>
      <w:r w:rsidRPr="00E53715">
        <w:rPr>
          <w:rFonts w:ascii="Arial Narrow" w:hAnsi="Arial Narrow"/>
        </w:rPr>
        <w:t xml:space="preserve">et </w:t>
      </w:r>
      <w:r w:rsidRPr="00E53715">
        <w:rPr>
          <w:rFonts w:ascii="Arial Narrow" w:hAnsi="Arial Narrow"/>
          <w:bCs/>
        </w:rPr>
        <w:t xml:space="preserve">aux articles R. 2191-3 et suivants du </w:t>
      </w:r>
      <w:r w:rsidRPr="00E53715">
        <w:rPr>
          <w:rFonts w:ascii="Arial Narrow" w:hAnsi="Arial Narrow"/>
        </w:rPr>
        <w:t>Code de la commande publique, sauf si celui-ci y renonce dans l’acte d’engagement.</w:t>
      </w:r>
      <w:r w:rsidRPr="00E53715">
        <w:rPr>
          <w:rFonts w:ascii="Arial Narrow" w:hAnsi="Arial Narrow"/>
          <w:bCs/>
          <w:iCs/>
        </w:rPr>
        <w:t xml:space="preserve"> </w:t>
      </w:r>
    </w:p>
    <w:p w14:paraId="0331A704" w14:textId="6D37F614" w:rsidR="00E53715" w:rsidRPr="00E53715" w:rsidRDefault="00E53715" w:rsidP="00E53715">
      <w:pPr>
        <w:pStyle w:val="En-tte"/>
        <w:numPr>
          <w:ilvl w:val="0"/>
          <w:numId w:val="21"/>
        </w:numPr>
        <w:spacing w:line="360" w:lineRule="auto"/>
        <w:jc w:val="both"/>
        <w:rPr>
          <w:rFonts w:ascii="Arial Narrow" w:hAnsi="Arial Narrow"/>
          <w:bCs/>
          <w:iCs/>
        </w:rPr>
      </w:pPr>
      <w:r w:rsidRPr="00E53715">
        <w:rPr>
          <w:rFonts w:ascii="Arial Narrow" w:hAnsi="Arial Narrow"/>
          <w:bCs/>
          <w:iCs/>
        </w:rPr>
        <w:t>Bons de commande :</w:t>
      </w:r>
    </w:p>
    <w:p w14:paraId="106AAC91" w14:textId="77777777" w:rsidR="0014540C" w:rsidRPr="00546FE0" w:rsidRDefault="0014540C" w:rsidP="00E53715">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1B606D39" w14:textId="72A60611" w:rsidR="0014540C" w:rsidRPr="006B7FB9" w:rsidRDefault="002724FC" w:rsidP="006B7FB9">
      <w:pPr>
        <w:pStyle w:val="En-tte"/>
        <w:spacing w:after="120" w:line="360" w:lineRule="auto"/>
        <w:jc w:val="both"/>
        <w:rPr>
          <w:rFonts w:ascii="Arial Narrow" w:hAnsi="Arial Narrow"/>
          <w:b/>
          <w:bCs/>
          <w:i/>
          <w:iCs/>
        </w:rPr>
      </w:pPr>
      <w:r w:rsidRPr="00EC0A28">
        <w:rPr>
          <w:rFonts w:ascii="Arial Narrow" w:hAnsi="Arial Narrow"/>
        </w:rPr>
        <w:t xml:space="preserve">Dans le respect des dispositions de l’article R. 2191-11 et R. 2191-12 du Code de la commande publique, le remboursement de l’avance s’imputera sur les sommes dues au titulaire quand le montant des prestations </w:t>
      </w:r>
      <w:r w:rsidRPr="00EC0A28">
        <w:rPr>
          <w:rFonts w:ascii="Arial Narrow" w:hAnsi="Arial Narrow"/>
        </w:rPr>
        <w:lastRenderedPageBreak/>
        <w:t>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5D4AD7C8" w14:textId="4B57A83C"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de la part forfaitaire </w:t>
      </w:r>
    </w:p>
    <w:p w14:paraId="3FB982E7" w14:textId="7573EA65" w:rsidR="004C5CF1" w:rsidRDefault="004C5CF1" w:rsidP="004C5CF1">
      <w:pPr>
        <w:pStyle w:val="En-tte"/>
        <w:spacing w:after="120" w:line="360" w:lineRule="auto"/>
        <w:jc w:val="both"/>
        <w:rPr>
          <w:rFonts w:ascii="Arial Narrow" w:hAnsi="Arial Narrow"/>
        </w:rPr>
      </w:pPr>
      <w:r w:rsidRPr="00546FE0">
        <w:rPr>
          <w:rFonts w:ascii="Arial Narrow" w:hAnsi="Arial Narrow"/>
        </w:rPr>
        <w:t>Le paiement des presta</w:t>
      </w:r>
      <w:r w:rsidR="000B7F30">
        <w:rPr>
          <w:rFonts w:ascii="Arial Narrow" w:hAnsi="Arial Narrow"/>
        </w:rPr>
        <w:t xml:space="preserve">tions forfaitaires s’effectuera </w:t>
      </w:r>
      <w:r w:rsidRPr="00546FE0">
        <w:rPr>
          <w:rFonts w:ascii="Arial Narrow" w:hAnsi="Arial Narrow"/>
        </w:rPr>
        <w:t xml:space="preserve">de façon </w:t>
      </w:r>
      <w:r w:rsidRPr="000B7F30">
        <w:rPr>
          <w:rFonts w:ascii="Arial Narrow" w:hAnsi="Arial Narrow"/>
        </w:rPr>
        <w:t>mensuelle</w:t>
      </w:r>
      <w:r w:rsidR="000B7F30">
        <w:rPr>
          <w:rFonts w:ascii="Arial Narrow" w:hAnsi="Arial Narrow"/>
        </w:rPr>
        <w:t>,</w:t>
      </w:r>
      <w:r w:rsidRPr="000B7F30">
        <w:rPr>
          <w:rFonts w:ascii="Arial Narrow" w:hAnsi="Arial Narrow"/>
        </w:rPr>
        <w:t xml:space="preserve"> </w:t>
      </w:r>
      <w:r w:rsidR="000B7F30">
        <w:rPr>
          <w:rFonts w:ascii="Arial Narrow" w:hAnsi="Arial Narrow"/>
        </w:rPr>
        <w:t xml:space="preserve">à terme échu. </w:t>
      </w: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1F31CC3A" w:rsidR="004C5CF1" w:rsidRPr="00546FE0"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r w:rsidR="000B7F30">
        <w:rPr>
          <w:rFonts w:ascii="Arial Narrow" w:hAnsi="Arial Narrow"/>
        </w:rPr>
        <w:t>, après service fait</w:t>
      </w:r>
      <w:r w:rsidRPr="00546FE0">
        <w:rPr>
          <w:rFonts w:ascii="Arial Narrow" w:hAnsi="Arial Narrow"/>
        </w:rPr>
        <w:t>.</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0C93A9B3" w:rsidR="006A63E0"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1B601D57" w14:textId="1DB65E38"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430F783B" w:rsidR="003978C9" w:rsidRPr="000B7F30" w:rsidRDefault="000B7F30" w:rsidP="00245388">
      <w:pPr>
        <w:pStyle w:val="En-tte"/>
        <w:numPr>
          <w:ilvl w:val="0"/>
          <w:numId w:val="13"/>
        </w:numPr>
        <w:spacing w:after="120" w:line="360" w:lineRule="auto"/>
        <w:jc w:val="both"/>
        <w:rPr>
          <w:rFonts w:ascii="Arial Narrow" w:hAnsi="Arial Narrow"/>
        </w:rPr>
      </w:pPr>
      <w:r w:rsidRPr="000B7F30">
        <w:rPr>
          <w:rFonts w:ascii="Arial Narrow" w:hAnsi="Arial Narrow"/>
        </w:rPr>
        <w:t>Le</w:t>
      </w:r>
      <w:r w:rsidR="003978C9" w:rsidRPr="000B7F30">
        <w:rPr>
          <w:rFonts w:ascii="Arial Narrow" w:hAnsi="Arial Narrow"/>
        </w:rPr>
        <w:t xml:space="preserve"> code service qui sera mentionné dans le bon de commande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653E4FD1"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0" w:type="auto"/>
        <w:tblLook w:val="04A0" w:firstRow="1" w:lastRow="0" w:firstColumn="1" w:lastColumn="0" w:noHBand="0" w:noVBand="1"/>
      </w:tblPr>
      <w:tblGrid>
        <w:gridCol w:w="3114"/>
        <w:gridCol w:w="3402"/>
        <w:gridCol w:w="2546"/>
      </w:tblGrid>
      <w:tr w:rsidR="002F4374" w:rsidRPr="00546FE0" w14:paraId="61BE234C" w14:textId="77777777" w:rsidTr="000B7F30">
        <w:tc>
          <w:tcPr>
            <w:tcW w:w="3114" w:type="dxa"/>
            <w:shd w:val="clear" w:color="auto" w:fill="BDD6EE" w:themeFill="accent1" w:themeFillTint="66"/>
            <w:vAlign w:val="center"/>
          </w:tcPr>
          <w:p w14:paraId="7EB35A96" w14:textId="77777777" w:rsidR="002F4374" w:rsidRPr="00546FE0" w:rsidRDefault="002F4374"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lastRenderedPageBreak/>
              <w:t>Pénalités</w:t>
            </w:r>
          </w:p>
        </w:tc>
        <w:tc>
          <w:tcPr>
            <w:tcW w:w="3402" w:type="dxa"/>
            <w:shd w:val="clear" w:color="auto" w:fill="BDD6EE" w:themeFill="accent1" w:themeFillTint="66"/>
            <w:vAlign w:val="center"/>
          </w:tcPr>
          <w:p w14:paraId="41A732EA"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Délai applicable</w:t>
            </w:r>
          </w:p>
        </w:tc>
        <w:tc>
          <w:tcPr>
            <w:tcW w:w="2546" w:type="dxa"/>
            <w:shd w:val="clear" w:color="auto" w:fill="BDD6EE" w:themeFill="accent1" w:themeFillTint="66"/>
            <w:vAlign w:val="center"/>
          </w:tcPr>
          <w:p w14:paraId="46590FC0"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2F4374" w:rsidRPr="00546FE0" w14:paraId="7277D842" w14:textId="77777777" w:rsidTr="000B7F30">
        <w:tc>
          <w:tcPr>
            <w:tcW w:w="3114" w:type="dxa"/>
            <w:vAlign w:val="center"/>
          </w:tcPr>
          <w:p w14:paraId="565CFFB0" w14:textId="5011AABE" w:rsidR="002F4374" w:rsidRPr="00546FE0" w:rsidRDefault="000B7F30" w:rsidP="002F4374">
            <w:pPr>
              <w:spacing w:after="40"/>
              <w:rPr>
                <w:rFonts w:ascii="Arial Narrow" w:eastAsia="Calibri" w:hAnsi="Arial Narrow" w:cs="Arial"/>
                <w:sz w:val="20"/>
                <w:lang w:eastAsia="ar-SA"/>
              </w:rPr>
            </w:pPr>
            <w:r>
              <w:rPr>
                <w:rFonts w:ascii="Arial Narrow" w:eastAsia="Calibri" w:hAnsi="Arial Narrow" w:cs="Arial"/>
                <w:sz w:val="20"/>
                <w:lang w:eastAsia="ar-SA"/>
              </w:rPr>
              <w:t>Pénalité de retard</w:t>
            </w:r>
          </w:p>
        </w:tc>
        <w:tc>
          <w:tcPr>
            <w:tcW w:w="3402" w:type="dxa"/>
            <w:vAlign w:val="center"/>
          </w:tcPr>
          <w:p w14:paraId="48C9DE0D" w14:textId="5F568E9E" w:rsidR="002F4374" w:rsidRPr="00546FE0" w:rsidRDefault="000B7F30" w:rsidP="002F4374">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Selon modalités du forfait ou du bon de commande</w:t>
            </w:r>
          </w:p>
        </w:tc>
        <w:tc>
          <w:tcPr>
            <w:tcW w:w="2546" w:type="dxa"/>
            <w:vAlign w:val="center"/>
          </w:tcPr>
          <w:p w14:paraId="03586DC5" w14:textId="5B950CD1" w:rsidR="002F4374" w:rsidRPr="000B7F30" w:rsidRDefault="000B7F30" w:rsidP="000B7F30">
            <w:pPr>
              <w:pStyle w:val="Notedebasdepage1"/>
              <w:spacing w:after="40"/>
              <w:rPr>
                <w:rFonts w:ascii="Arial Narrow" w:eastAsia="Calibri" w:hAnsi="Arial Narrow" w:cs="Arial"/>
                <w:szCs w:val="22"/>
                <w:lang w:eastAsia="ar-SA"/>
              </w:rPr>
            </w:pPr>
            <w:r w:rsidRPr="000B7F30">
              <w:rPr>
                <w:rFonts w:ascii="Arial Narrow" w:eastAsia="Calibri" w:hAnsi="Arial Narrow" w:cs="Arial"/>
                <w:szCs w:val="22"/>
                <w:lang w:eastAsia="ar-SA"/>
              </w:rPr>
              <w:t>500 € HT par jour de retard</w:t>
            </w:r>
          </w:p>
        </w:tc>
      </w:tr>
      <w:tr w:rsidR="002F4374" w:rsidRPr="00546FE0" w14:paraId="2CF85411" w14:textId="77777777" w:rsidTr="000B7F30">
        <w:tc>
          <w:tcPr>
            <w:tcW w:w="3114" w:type="dxa"/>
            <w:vAlign w:val="center"/>
          </w:tcPr>
          <w:p w14:paraId="7AB056EE" w14:textId="1033241A" w:rsidR="002F4374" w:rsidRPr="00546FE0" w:rsidRDefault="000B7F30" w:rsidP="002F4374">
            <w:pPr>
              <w:spacing w:after="40"/>
              <w:rPr>
                <w:rFonts w:ascii="Arial Narrow" w:eastAsia="Calibri" w:hAnsi="Arial Narrow" w:cs="Arial"/>
                <w:sz w:val="20"/>
                <w:lang w:eastAsia="ar-SA"/>
              </w:rPr>
            </w:pPr>
            <w:r>
              <w:rPr>
                <w:rFonts w:ascii="Arial Narrow" w:eastAsia="Calibri" w:hAnsi="Arial Narrow" w:cs="Arial"/>
                <w:sz w:val="20"/>
                <w:lang w:eastAsia="ar-SA"/>
              </w:rPr>
              <w:t>Prestation réalisée partiellement et/ou non conforme</w:t>
            </w:r>
          </w:p>
        </w:tc>
        <w:tc>
          <w:tcPr>
            <w:tcW w:w="3402" w:type="dxa"/>
            <w:vAlign w:val="center"/>
          </w:tcPr>
          <w:p w14:paraId="5A03EB82" w14:textId="527BB41F" w:rsidR="002F4374" w:rsidRPr="00546FE0" w:rsidRDefault="000B7F30" w:rsidP="002F4374">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N/A</w:t>
            </w:r>
          </w:p>
        </w:tc>
        <w:tc>
          <w:tcPr>
            <w:tcW w:w="2546" w:type="dxa"/>
            <w:vAlign w:val="center"/>
          </w:tcPr>
          <w:p w14:paraId="636ECE97" w14:textId="242DA316" w:rsidR="002F4374" w:rsidRPr="00546FE0" w:rsidRDefault="000B7F30" w:rsidP="000B7F30">
            <w:pPr>
              <w:spacing w:after="40"/>
              <w:rPr>
                <w:rFonts w:ascii="Arial Narrow" w:eastAsia="Calibri" w:hAnsi="Arial Narrow" w:cs="Arial"/>
                <w:sz w:val="20"/>
                <w:lang w:eastAsia="ar-SA"/>
              </w:rPr>
            </w:pPr>
            <w:r>
              <w:rPr>
                <w:rFonts w:ascii="Arial Narrow" w:eastAsia="Calibri" w:hAnsi="Arial Narrow" w:cs="Arial"/>
                <w:sz w:val="20"/>
                <w:lang w:eastAsia="ar-SA"/>
              </w:rPr>
              <w:t>100</w:t>
            </w:r>
            <w:r w:rsidR="002F4374" w:rsidRPr="00546FE0">
              <w:rPr>
                <w:rFonts w:ascii="Arial Narrow" w:eastAsia="Calibri" w:hAnsi="Arial Narrow" w:cs="Arial"/>
                <w:sz w:val="20"/>
                <w:lang w:eastAsia="ar-SA"/>
              </w:rPr>
              <w:t xml:space="preserve"> € HT par </w:t>
            </w:r>
            <w:r>
              <w:rPr>
                <w:rFonts w:ascii="Arial Narrow" w:eastAsia="Calibri" w:hAnsi="Arial Narrow" w:cs="Arial"/>
                <w:sz w:val="20"/>
                <w:lang w:eastAsia="ar-SA"/>
              </w:rPr>
              <w:t>constat</w:t>
            </w:r>
          </w:p>
        </w:tc>
      </w:tr>
      <w:tr w:rsidR="000B7F30" w:rsidRPr="00546FE0" w14:paraId="40422C97" w14:textId="77777777" w:rsidTr="000B7F30">
        <w:tc>
          <w:tcPr>
            <w:tcW w:w="3114" w:type="dxa"/>
            <w:vAlign w:val="center"/>
          </w:tcPr>
          <w:p w14:paraId="0630B7E4" w14:textId="366F844B" w:rsidR="000B7F30" w:rsidRDefault="000B7F30" w:rsidP="002F4374">
            <w:pPr>
              <w:spacing w:after="40"/>
              <w:rPr>
                <w:rFonts w:ascii="Arial Narrow" w:eastAsia="Calibri" w:hAnsi="Arial Narrow" w:cs="Arial"/>
                <w:sz w:val="20"/>
                <w:lang w:eastAsia="ar-SA"/>
              </w:rPr>
            </w:pPr>
            <w:r>
              <w:rPr>
                <w:rFonts w:ascii="Arial Narrow" w:eastAsia="Calibri" w:hAnsi="Arial Narrow" w:cs="Arial"/>
                <w:sz w:val="20"/>
                <w:lang w:eastAsia="ar-SA"/>
              </w:rPr>
              <w:t>Défaut de présentation des FDS des produits utilisés</w:t>
            </w:r>
          </w:p>
        </w:tc>
        <w:tc>
          <w:tcPr>
            <w:tcW w:w="3402" w:type="dxa"/>
            <w:vAlign w:val="center"/>
          </w:tcPr>
          <w:p w14:paraId="160B51AB" w14:textId="0331A417" w:rsidR="000B7F30" w:rsidRPr="00546FE0" w:rsidRDefault="000B7F30" w:rsidP="002F4374">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N/A</w:t>
            </w:r>
          </w:p>
        </w:tc>
        <w:tc>
          <w:tcPr>
            <w:tcW w:w="2546" w:type="dxa"/>
            <w:vAlign w:val="center"/>
          </w:tcPr>
          <w:p w14:paraId="4B48BB31" w14:textId="7C4014ED" w:rsidR="000B7F30" w:rsidRDefault="000B7F30" w:rsidP="000B7F30">
            <w:pPr>
              <w:spacing w:after="40"/>
              <w:rPr>
                <w:rFonts w:ascii="Arial Narrow" w:eastAsia="Calibri" w:hAnsi="Arial Narrow" w:cs="Arial"/>
                <w:sz w:val="20"/>
                <w:lang w:eastAsia="ar-SA"/>
              </w:rPr>
            </w:pPr>
            <w:r>
              <w:rPr>
                <w:rFonts w:ascii="Arial Narrow" w:eastAsia="Calibri" w:hAnsi="Arial Narrow" w:cs="Arial"/>
                <w:sz w:val="20"/>
                <w:lang w:eastAsia="ar-SA"/>
              </w:rPr>
              <w:t>50 € HT par constat</w:t>
            </w:r>
          </w:p>
        </w:tc>
      </w:tr>
      <w:tr w:rsidR="000B7F30" w:rsidRPr="00546FE0" w14:paraId="32446F26" w14:textId="77777777" w:rsidTr="000B7F30">
        <w:tc>
          <w:tcPr>
            <w:tcW w:w="3114" w:type="dxa"/>
            <w:vAlign w:val="center"/>
          </w:tcPr>
          <w:p w14:paraId="1FD1ECE5" w14:textId="4F07E6AA" w:rsidR="000B7F30" w:rsidRDefault="000B7F30" w:rsidP="002F4374">
            <w:pPr>
              <w:spacing w:after="40"/>
              <w:rPr>
                <w:rFonts w:ascii="Arial Narrow" w:eastAsia="Calibri" w:hAnsi="Arial Narrow" w:cs="Arial"/>
                <w:sz w:val="20"/>
                <w:lang w:eastAsia="ar-SA"/>
              </w:rPr>
            </w:pPr>
            <w:r>
              <w:rPr>
                <w:rFonts w:ascii="Arial Narrow" w:eastAsia="Calibri" w:hAnsi="Arial Narrow" w:cs="Arial"/>
                <w:sz w:val="20"/>
                <w:lang w:eastAsia="ar-SA"/>
              </w:rPr>
              <w:t>Pénalité en cas de non-livraison du rapport détaillé d’intervention (à chaque date anniversaire du marché)</w:t>
            </w:r>
          </w:p>
        </w:tc>
        <w:tc>
          <w:tcPr>
            <w:tcW w:w="3402" w:type="dxa"/>
            <w:vAlign w:val="center"/>
          </w:tcPr>
          <w:p w14:paraId="5379D8A5" w14:textId="387F5812" w:rsidR="000B7F30" w:rsidRPr="00546FE0" w:rsidRDefault="000B7F30" w:rsidP="002F4374">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A fournir dans les 10 jours suivant l’intervention</w:t>
            </w:r>
          </w:p>
        </w:tc>
        <w:tc>
          <w:tcPr>
            <w:tcW w:w="2546" w:type="dxa"/>
            <w:vAlign w:val="center"/>
          </w:tcPr>
          <w:p w14:paraId="0479086A" w14:textId="47A9AA7B" w:rsidR="000B7F30" w:rsidRDefault="000B7F30" w:rsidP="000B7F30">
            <w:pPr>
              <w:spacing w:after="40"/>
              <w:rPr>
                <w:rFonts w:ascii="Arial Narrow" w:eastAsia="Calibri" w:hAnsi="Arial Narrow" w:cs="Arial"/>
                <w:sz w:val="20"/>
                <w:lang w:eastAsia="ar-SA"/>
              </w:rPr>
            </w:pPr>
            <w:r>
              <w:rPr>
                <w:rFonts w:ascii="Arial Narrow" w:eastAsia="Calibri" w:hAnsi="Arial Narrow" w:cs="Arial"/>
                <w:sz w:val="20"/>
                <w:lang w:eastAsia="ar-SA"/>
              </w:rPr>
              <w:t>100 €</w:t>
            </w:r>
            <w:r w:rsidR="00B14D25">
              <w:rPr>
                <w:rFonts w:ascii="Arial Narrow" w:eastAsia="Calibri" w:hAnsi="Arial Narrow" w:cs="Arial"/>
                <w:sz w:val="20"/>
                <w:lang w:eastAsia="ar-SA"/>
              </w:rPr>
              <w:t xml:space="preserve"> HT</w:t>
            </w:r>
            <w:bookmarkStart w:id="0" w:name="_GoBack"/>
            <w:bookmarkEnd w:id="0"/>
            <w:r>
              <w:rPr>
                <w:rFonts w:ascii="Arial Narrow" w:eastAsia="Calibri" w:hAnsi="Arial Narrow" w:cs="Arial"/>
                <w:sz w:val="20"/>
                <w:lang w:eastAsia="ar-SA"/>
              </w:rPr>
              <w:t xml:space="preserve"> par jour de retard</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4C80584B"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76D73A65"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xml:space="preserve">, elle pourra avoir lieu à tout moment pendant la durée du marché. A cette fin, le titulaire devra présenter un formulaire DC4 renseigné et disponible à l’adresse suivante : </w:t>
      </w:r>
      <w:hyperlink r:id="rId12" w:history="1">
        <w:r w:rsidR="000B7F30" w:rsidRPr="00E8262A">
          <w:rPr>
            <w:rStyle w:val="Lienhypertexte"/>
            <w:rFonts w:ascii="Arial Narrow" w:hAnsi="Arial Narrow"/>
          </w:rPr>
          <w:t>https://www.economie.gouv.fr/daj/formulaires-declaration-du-candidat</w:t>
        </w:r>
      </w:hyperlink>
      <w:r w:rsidR="000B7F30">
        <w:rPr>
          <w:rFonts w:ascii="Arial Narrow" w:hAnsi="Arial Narrow"/>
        </w:rPr>
        <w:t xml:space="preserve"> </w:t>
      </w:r>
      <w:r w:rsidRPr="00546FE0">
        <w:rPr>
          <w:rFonts w:ascii="Arial Narrow" w:hAnsi="Arial Narrow"/>
        </w:rPr>
        <w:t>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B7F30">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013B1291"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w:t>
      </w:r>
      <w:r w:rsidR="000B7F30">
        <w:rPr>
          <w:rFonts w:ascii="Arial Narrow" w:hAnsi="Arial Narrow"/>
        </w:rPr>
        <w:t xml:space="preserve"> </w:t>
      </w:r>
      <w:r w:rsidRPr="00546FE0">
        <w:rPr>
          <w:rFonts w:ascii="Arial Narrow" w:hAnsi="Arial Narrow"/>
        </w:rPr>
        <w:t>€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lastRenderedPageBreak/>
        <w:t>le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82744C8" w14:textId="0FBB1D9B" w:rsidR="00F82DB2" w:rsidRDefault="00F82DB2" w:rsidP="00AD439B">
      <w:pPr>
        <w:pStyle w:val="En-tte"/>
        <w:spacing w:after="120" w:line="360" w:lineRule="auto"/>
        <w:rPr>
          <w:rFonts w:ascii="Arial Narrow" w:hAnsi="Arial Narrow"/>
        </w:rPr>
      </w:pPr>
    </w:p>
    <w:p w14:paraId="186B6A59" w14:textId="235464AB" w:rsidR="00AA1C71" w:rsidRDefault="00AA1C71" w:rsidP="00AD439B">
      <w:pPr>
        <w:pStyle w:val="En-tte"/>
        <w:spacing w:after="120" w:line="360" w:lineRule="auto"/>
        <w:rPr>
          <w:rFonts w:ascii="Arial Narrow" w:hAnsi="Arial Narrow"/>
        </w:rPr>
      </w:pPr>
    </w:p>
    <w:p w14:paraId="77A6B3E2" w14:textId="2B01349E" w:rsidR="00AA1C71" w:rsidRDefault="00AA1C71" w:rsidP="00AD439B">
      <w:pPr>
        <w:pStyle w:val="En-tte"/>
        <w:spacing w:after="120" w:line="360" w:lineRule="auto"/>
        <w:rPr>
          <w:rFonts w:ascii="Arial Narrow" w:hAnsi="Arial Narrow"/>
        </w:rPr>
      </w:pPr>
    </w:p>
    <w:p w14:paraId="684C677D" w14:textId="77777777" w:rsidR="00AA1C71" w:rsidRPr="00546FE0" w:rsidRDefault="00AA1C71"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lastRenderedPageBreak/>
        <w:t>LITIGE ET RESILIATION</w:t>
      </w:r>
      <w:bookmarkEnd w:id="1"/>
    </w:p>
    <w:p w14:paraId="2B62768F" w14:textId="6BA45BA7" w:rsidR="00AD439B" w:rsidRPr="00546FE0" w:rsidRDefault="00D007C1" w:rsidP="00D007C1">
      <w:pPr>
        <w:pStyle w:val="En-tte"/>
        <w:numPr>
          <w:ilvl w:val="1"/>
          <w:numId w:val="2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5F59D545" w:rsidR="00AD439B" w:rsidRPr="00546FE0" w:rsidRDefault="00D007C1" w:rsidP="00D007C1">
      <w:pPr>
        <w:pStyle w:val="En-tte"/>
        <w:numPr>
          <w:ilvl w:val="1"/>
          <w:numId w:val="2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20EB1039" w:rsidR="00165639" w:rsidRPr="00546FE0" w:rsidRDefault="00D55E9A" w:rsidP="00165639">
      <w:pPr>
        <w:pStyle w:val="En-tte"/>
        <w:spacing w:after="120" w:line="360" w:lineRule="auto"/>
        <w:jc w:val="both"/>
        <w:rPr>
          <w:rFonts w:ascii="Arial Narrow" w:hAnsi="Arial Narrow"/>
        </w:rPr>
      </w:pPr>
      <w:r>
        <w:rPr>
          <w:rFonts w:ascii="Arial Narrow" w:hAnsi="Arial Narrow"/>
        </w:rPr>
        <w:t>L'article 13</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B341E" w14:textId="77777777" w:rsidR="00A44FF6" w:rsidRDefault="00A44FF6" w:rsidP="00E42FF3">
      <w:pPr>
        <w:spacing w:after="0" w:line="240" w:lineRule="auto"/>
      </w:pPr>
      <w:r>
        <w:separator/>
      </w:r>
    </w:p>
  </w:endnote>
  <w:endnote w:type="continuationSeparator" w:id="0">
    <w:p w14:paraId="0A328388" w14:textId="77777777" w:rsidR="00A44FF6" w:rsidRDefault="00A44FF6"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661ED97" w:rsidR="004A157C" w:rsidRDefault="004A157C">
        <w:pPr>
          <w:pStyle w:val="Pieddepage"/>
          <w:jc w:val="right"/>
        </w:pPr>
        <w:r>
          <w:fldChar w:fldCharType="begin"/>
        </w:r>
        <w:r>
          <w:instrText>PAGE   \* MERGEFORMAT</w:instrText>
        </w:r>
        <w:r>
          <w:fldChar w:fldCharType="separate"/>
        </w:r>
        <w:r w:rsidR="00B14D25">
          <w:rPr>
            <w:noProof/>
          </w:rPr>
          <w:t>7</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99B84" w14:textId="77777777" w:rsidR="00A44FF6" w:rsidRDefault="00A44FF6" w:rsidP="00E42FF3">
      <w:pPr>
        <w:spacing w:after="0" w:line="240" w:lineRule="auto"/>
      </w:pPr>
      <w:r>
        <w:separator/>
      </w:r>
    </w:p>
  </w:footnote>
  <w:footnote w:type="continuationSeparator" w:id="0">
    <w:p w14:paraId="24748F9E" w14:textId="77777777" w:rsidR="00A44FF6" w:rsidRDefault="00A44FF6"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0E6C1C" w14:paraId="2BB9012C" w14:textId="77777777" w:rsidTr="00933017">
      <w:tc>
        <w:tcPr>
          <w:tcW w:w="2725" w:type="dxa"/>
        </w:tcPr>
        <w:p w14:paraId="0C76F957" w14:textId="77777777" w:rsidR="000E6C1C" w:rsidRDefault="000E6C1C" w:rsidP="000E6C1C">
          <w:pPr>
            <w:pStyle w:val="En-tte"/>
          </w:pPr>
          <w:r>
            <w:rPr>
              <w:noProof/>
              <w:lang w:eastAsia="fr-FR"/>
            </w:rPr>
            <w:drawing>
              <wp:anchor distT="0" distB="0" distL="114300" distR="114300" simplePos="0" relativeHeight="251660288" behindDoc="0" locked="0" layoutInCell="1" allowOverlap="1" wp14:anchorId="7C51EE36" wp14:editId="6E2C7C49">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65" w:type="dxa"/>
        </w:tcPr>
        <w:p w14:paraId="4B483228" w14:textId="77777777" w:rsidR="000E6C1C" w:rsidRDefault="000E6C1C" w:rsidP="000E6C1C">
          <w:pPr>
            <w:widowControl w:val="0"/>
            <w:spacing w:after="200" w:line="276" w:lineRule="auto"/>
            <w:contextualSpacing/>
            <w:jc w:val="right"/>
          </w:pPr>
        </w:p>
      </w:tc>
    </w:tr>
  </w:tbl>
  <w:p w14:paraId="736ECA40" w14:textId="77777777" w:rsidR="000E6C1C" w:rsidRDefault="000E6C1C" w:rsidP="000E6C1C">
    <w:pPr>
      <w:pStyle w:val="En-tte"/>
    </w:pPr>
    <w:r>
      <w:rPr>
        <w:noProof/>
        <w:lang w:eastAsia="fr-FR"/>
      </w:rPr>
      <w:drawing>
        <wp:anchor distT="3600450" distB="0" distL="114300" distR="114300" simplePos="0" relativeHeight="251659264" behindDoc="0" locked="0" layoutInCell="1" allowOverlap="1" wp14:anchorId="3BA8E14C" wp14:editId="58D80649">
          <wp:simplePos x="0" y="0"/>
          <wp:positionH relativeFrom="page">
            <wp:posOffset>6153785</wp:posOffset>
          </wp:positionH>
          <wp:positionV relativeFrom="page">
            <wp:posOffset>327660</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7"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D80AF7"/>
    <w:multiLevelType w:val="multilevel"/>
    <w:tmpl w:val="B6BCC708"/>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C66D5C"/>
    <w:multiLevelType w:val="hybridMultilevel"/>
    <w:tmpl w:val="92E879E0"/>
    <w:lvl w:ilvl="0" w:tplc="4F3E583C">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7"/>
  </w:num>
  <w:num w:numId="4">
    <w:abstractNumId w:val="3"/>
  </w:num>
  <w:num w:numId="5">
    <w:abstractNumId w:val="9"/>
  </w:num>
  <w:num w:numId="6">
    <w:abstractNumId w:val="0"/>
  </w:num>
  <w:num w:numId="7">
    <w:abstractNumId w:val="16"/>
  </w:num>
  <w:num w:numId="8">
    <w:abstractNumId w:val="10"/>
  </w:num>
  <w:num w:numId="9">
    <w:abstractNumId w:val="6"/>
  </w:num>
  <w:num w:numId="10">
    <w:abstractNumId w:val="13"/>
  </w:num>
  <w:num w:numId="11">
    <w:abstractNumId w:val="1"/>
  </w:num>
  <w:num w:numId="12">
    <w:abstractNumId w:val="15"/>
  </w:num>
  <w:num w:numId="13">
    <w:abstractNumId w:val="11"/>
  </w:num>
  <w:num w:numId="14">
    <w:abstractNumId w:val="7"/>
  </w:num>
  <w:num w:numId="15">
    <w:abstractNumId w:val="14"/>
  </w:num>
  <w:num w:numId="16">
    <w:abstractNumId w:val="21"/>
  </w:num>
  <w:num w:numId="17">
    <w:abstractNumId w:val="4"/>
  </w:num>
  <w:num w:numId="18">
    <w:abstractNumId w:val="18"/>
  </w:num>
  <w:num w:numId="19">
    <w:abstractNumId w:val="8"/>
  </w:num>
  <w:num w:numId="20">
    <w:abstractNumId w:val="5"/>
  </w:num>
  <w:num w:numId="21">
    <w:abstractNumId w:val="12"/>
  </w:num>
  <w:num w:numId="22">
    <w:abstractNumId w:val="22"/>
  </w:num>
  <w:num w:numId="2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2B"/>
    <w:rsid w:val="000B3B70"/>
    <w:rsid w:val="000B52E8"/>
    <w:rsid w:val="000B7422"/>
    <w:rsid w:val="000B7F30"/>
    <w:rsid w:val="000C10A2"/>
    <w:rsid w:val="000D0217"/>
    <w:rsid w:val="000D317C"/>
    <w:rsid w:val="000D622D"/>
    <w:rsid w:val="000E6C1C"/>
    <w:rsid w:val="000E7740"/>
    <w:rsid w:val="000F34C3"/>
    <w:rsid w:val="001008AE"/>
    <w:rsid w:val="00100939"/>
    <w:rsid w:val="00106DDC"/>
    <w:rsid w:val="00116380"/>
    <w:rsid w:val="0014540C"/>
    <w:rsid w:val="00165639"/>
    <w:rsid w:val="00180990"/>
    <w:rsid w:val="001B44CB"/>
    <w:rsid w:val="001E22CC"/>
    <w:rsid w:val="001F6E69"/>
    <w:rsid w:val="0024335F"/>
    <w:rsid w:val="00245388"/>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5293A"/>
    <w:rsid w:val="00360E50"/>
    <w:rsid w:val="00367714"/>
    <w:rsid w:val="003765CC"/>
    <w:rsid w:val="00376A8E"/>
    <w:rsid w:val="003978C9"/>
    <w:rsid w:val="003A3C44"/>
    <w:rsid w:val="003A6163"/>
    <w:rsid w:val="003D7C03"/>
    <w:rsid w:val="003E137A"/>
    <w:rsid w:val="003F3420"/>
    <w:rsid w:val="003F5F33"/>
    <w:rsid w:val="003F7575"/>
    <w:rsid w:val="00403F4D"/>
    <w:rsid w:val="0041504B"/>
    <w:rsid w:val="00422159"/>
    <w:rsid w:val="00426B67"/>
    <w:rsid w:val="004302A7"/>
    <w:rsid w:val="00470284"/>
    <w:rsid w:val="00476011"/>
    <w:rsid w:val="004A157C"/>
    <w:rsid w:val="004C5CF1"/>
    <w:rsid w:val="004D0CF2"/>
    <w:rsid w:val="004D156F"/>
    <w:rsid w:val="004F1113"/>
    <w:rsid w:val="004F429E"/>
    <w:rsid w:val="00533500"/>
    <w:rsid w:val="005413BD"/>
    <w:rsid w:val="00546FE0"/>
    <w:rsid w:val="005706E9"/>
    <w:rsid w:val="0057274A"/>
    <w:rsid w:val="00593CA0"/>
    <w:rsid w:val="00597B32"/>
    <w:rsid w:val="005B11C8"/>
    <w:rsid w:val="005D1A2E"/>
    <w:rsid w:val="005D555E"/>
    <w:rsid w:val="005E63A7"/>
    <w:rsid w:val="005F1D51"/>
    <w:rsid w:val="0064097D"/>
    <w:rsid w:val="006465DC"/>
    <w:rsid w:val="006528A6"/>
    <w:rsid w:val="00666DD5"/>
    <w:rsid w:val="006824D7"/>
    <w:rsid w:val="006A63E0"/>
    <w:rsid w:val="006B7FB9"/>
    <w:rsid w:val="006E6DEE"/>
    <w:rsid w:val="006F014C"/>
    <w:rsid w:val="006F0B57"/>
    <w:rsid w:val="007221BF"/>
    <w:rsid w:val="007258AA"/>
    <w:rsid w:val="00726E74"/>
    <w:rsid w:val="00737BEB"/>
    <w:rsid w:val="00750B12"/>
    <w:rsid w:val="007639B4"/>
    <w:rsid w:val="007663CD"/>
    <w:rsid w:val="007C15FD"/>
    <w:rsid w:val="007D159B"/>
    <w:rsid w:val="007E5415"/>
    <w:rsid w:val="0081396B"/>
    <w:rsid w:val="00836C55"/>
    <w:rsid w:val="00846D60"/>
    <w:rsid w:val="008665C9"/>
    <w:rsid w:val="00874D6C"/>
    <w:rsid w:val="0088306B"/>
    <w:rsid w:val="0088600A"/>
    <w:rsid w:val="00886A9B"/>
    <w:rsid w:val="00891B1A"/>
    <w:rsid w:val="008B6960"/>
    <w:rsid w:val="00910D6B"/>
    <w:rsid w:val="009122D3"/>
    <w:rsid w:val="009146C4"/>
    <w:rsid w:val="00954EEA"/>
    <w:rsid w:val="00983998"/>
    <w:rsid w:val="00990731"/>
    <w:rsid w:val="009C2143"/>
    <w:rsid w:val="009D63CC"/>
    <w:rsid w:val="00A02B17"/>
    <w:rsid w:val="00A118F1"/>
    <w:rsid w:val="00A15E81"/>
    <w:rsid w:val="00A44FF6"/>
    <w:rsid w:val="00A572A6"/>
    <w:rsid w:val="00A7568E"/>
    <w:rsid w:val="00A94EDC"/>
    <w:rsid w:val="00AA1C71"/>
    <w:rsid w:val="00AA3E07"/>
    <w:rsid w:val="00AD439B"/>
    <w:rsid w:val="00B14D25"/>
    <w:rsid w:val="00B17100"/>
    <w:rsid w:val="00B42ED3"/>
    <w:rsid w:val="00B52B09"/>
    <w:rsid w:val="00B76438"/>
    <w:rsid w:val="00B76727"/>
    <w:rsid w:val="00B76C4A"/>
    <w:rsid w:val="00BD6430"/>
    <w:rsid w:val="00C0489A"/>
    <w:rsid w:val="00C37C04"/>
    <w:rsid w:val="00C47AC9"/>
    <w:rsid w:val="00C502ED"/>
    <w:rsid w:val="00C92452"/>
    <w:rsid w:val="00CB45FD"/>
    <w:rsid w:val="00CC09FD"/>
    <w:rsid w:val="00CC5197"/>
    <w:rsid w:val="00CC605C"/>
    <w:rsid w:val="00CE4A76"/>
    <w:rsid w:val="00CF131C"/>
    <w:rsid w:val="00CF6C06"/>
    <w:rsid w:val="00D007C1"/>
    <w:rsid w:val="00D17E86"/>
    <w:rsid w:val="00D32F62"/>
    <w:rsid w:val="00D349F1"/>
    <w:rsid w:val="00D524F5"/>
    <w:rsid w:val="00D55E9A"/>
    <w:rsid w:val="00D637C9"/>
    <w:rsid w:val="00D72FEE"/>
    <w:rsid w:val="00D86150"/>
    <w:rsid w:val="00D9355E"/>
    <w:rsid w:val="00D954B4"/>
    <w:rsid w:val="00D95936"/>
    <w:rsid w:val="00DB7A14"/>
    <w:rsid w:val="00DC2FA3"/>
    <w:rsid w:val="00DD3949"/>
    <w:rsid w:val="00E42FF3"/>
    <w:rsid w:val="00E53715"/>
    <w:rsid w:val="00E62B9E"/>
    <w:rsid w:val="00E86FA0"/>
    <w:rsid w:val="00E94428"/>
    <w:rsid w:val="00EA2A0A"/>
    <w:rsid w:val="00EC2356"/>
    <w:rsid w:val="00EC6141"/>
    <w:rsid w:val="00EE230C"/>
    <w:rsid w:val="00EE4C36"/>
    <w:rsid w:val="00EE65EC"/>
    <w:rsid w:val="00EF10C6"/>
    <w:rsid w:val="00F00B40"/>
    <w:rsid w:val="00F03BF9"/>
    <w:rsid w:val="00F065F4"/>
    <w:rsid w:val="00F6320E"/>
    <w:rsid w:val="00F664E5"/>
    <w:rsid w:val="00F74527"/>
    <w:rsid w:val="00F802CE"/>
    <w:rsid w:val="00F82DB2"/>
    <w:rsid w:val="00FA36FF"/>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styleId="Retraitcorpsdetexte">
    <w:name w:val="Body Text Indent"/>
    <w:basedOn w:val="Normal"/>
    <w:link w:val="RetraitcorpsdetexteCar"/>
    <w:uiPriority w:val="99"/>
    <w:semiHidden/>
    <w:unhideWhenUsed/>
    <w:rsid w:val="00750B12"/>
    <w:pPr>
      <w:spacing w:after="120"/>
      <w:ind w:left="283"/>
    </w:pPr>
  </w:style>
  <w:style w:type="character" w:customStyle="1" w:styleId="RetraitcorpsdetexteCar">
    <w:name w:val="Retrait corps de texte Car"/>
    <w:basedOn w:val="Policepardfaut"/>
    <w:link w:val="Retraitcorpsdetexte"/>
    <w:uiPriority w:val="99"/>
    <w:semiHidden/>
    <w:rsid w:val="0075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074088620">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statistiques/serie/010766462"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uridique@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ffairesfinancieres@musee-orsay.fr" TargetMode="Externa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EC6A95"/>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DBE83-D0C8-4428-B101-D9435A4B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13</Pages>
  <Words>3806</Words>
  <Characters>20938</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25</cp:revision>
  <dcterms:created xsi:type="dcterms:W3CDTF">2025-07-03T07:22:00Z</dcterms:created>
  <dcterms:modified xsi:type="dcterms:W3CDTF">2025-08-26T14:01:00Z</dcterms:modified>
</cp:coreProperties>
</file>